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C" w:rsidRPr="00874E28" w:rsidRDefault="00926842" w:rsidP="00926842">
      <w:pPr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noProof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228600</wp:posOffset>
            </wp:positionV>
            <wp:extent cx="118872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15" y="21240"/>
                <wp:lineTo x="21115" y="0"/>
                <wp:lineTo x="0" y="0"/>
              </wp:wrapPolygon>
            </wp:wrapTight>
            <wp:docPr id="4" name="Resim 4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171575" cy="1057275"/>
            <wp:effectExtent l="0" t="0" r="9525" b="9525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Cs w:val="24"/>
          <w:lang w:eastAsia="tr-T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53340</wp:posOffset>
                </wp:positionV>
                <wp:extent cx="5283835" cy="1215390"/>
                <wp:effectExtent l="4445" t="5080" r="7620" b="8255"/>
                <wp:wrapSquare wrapText="largest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215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42" w:rsidRDefault="00926842" w:rsidP="00926842"/>
                          <w:tbl>
                            <w:tblPr>
                              <w:tblW w:w="0" w:type="auto"/>
                              <w:tblInd w:w="-1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19"/>
                            </w:tblGrid>
                            <w:tr w:rsidR="00926842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8619" w:type="dxa"/>
                                </w:tcPr>
                                <w:p w:rsidR="00926842" w:rsidRPr="00901A0C" w:rsidRDefault="00926842" w:rsidP="007304AD">
                                  <w:pPr>
                                    <w:pStyle w:val="GvdeMetni"/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  <w:r w:rsidRPr="00901A0C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  <w:t>EĞİTİM-İŞ</w:t>
                                  </w:r>
                                </w:p>
                                <w:p w:rsidR="00926842" w:rsidRPr="00901A0C" w:rsidRDefault="00926842" w:rsidP="007304AD">
                                  <w:pPr>
                                    <w:pStyle w:val="GvdeMetni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901A0C">
                                    <w:rPr>
                                      <w:color w:val="000000"/>
                                      <w:szCs w:val="24"/>
                                    </w:rPr>
                                    <w:t>EĞİTİM VE BİLİM İŞGÖRENLERİ SENDİKASI</w:t>
                                  </w:r>
                                </w:p>
                                <w:p w:rsidR="00926842" w:rsidRDefault="00926842" w:rsidP="007304A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</w:rPr>
                                    <w:t>BURSA ŞUBESİ</w:t>
                                  </w:r>
                                </w:p>
                                <w:p w:rsidR="00926842" w:rsidRPr="004D620B" w:rsidRDefault="00926842" w:rsidP="007304A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6842">
                              <w:trPr>
                                <w:trHeight w:val="1493"/>
                              </w:trPr>
                              <w:tc>
                                <w:tcPr>
                                  <w:tcW w:w="8619" w:type="dxa"/>
                                </w:tcPr>
                                <w:p w:rsidR="00926842" w:rsidRDefault="00926842" w:rsidP="007304AD">
                                  <w:pPr>
                                    <w:pStyle w:val="GvdeMetni"/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6842" w:rsidRDefault="00926842" w:rsidP="00926842">
                            <w:pPr>
                              <w:pStyle w:val="ereveierii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pt;margin-top:4.2pt;width:416.05pt;height:95.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" stroked="f">
                <v:fill opacity="0"/>
                <v:textbox inset="0,0,0,0">
                  <w:txbxContent>
                    <w:p w:rsidR="00926842" w:rsidRDefault="00926842" w:rsidP="00926842"/>
                    <w:tbl>
                      <w:tblPr>
                        <w:tblW w:w="0" w:type="auto"/>
                        <w:tblInd w:w="-15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19"/>
                      </w:tblGrid>
                      <w:tr w:rsidR="00926842">
                        <w:trPr>
                          <w:trHeight w:hRule="exact" w:val="1984"/>
                        </w:trPr>
                        <w:tc>
                          <w:tcPr>
                            <w:tcW w:w="8619" w:type="dxa"/>
                          </w:tcPr>
                          <w:p w:rsidR="00926842" w:rsidRPr="00901A0C" w:rsidRDefault="00926842" w:rsidP="007304AD">
                            <w:pPr>
                              <w:pStyle w:val="GvdeMetni"/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901A0C">
                              <w:rPr>
                                <w:rFonts w:ascii="Verdana" w:hAnsi="Verdan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EĞİTİM-İŞ</w:t>
                            </w:r>
                          </w:p>
                          <w:p w:rsidR="00926842" w:rsidRPr="00901A0C" w:rsidRDefault="00926842" w:rsidP="007304AD">
                            <w:pPr>
                              <w:pStyle w:val="GvdeMetni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901A0C">
                              <w:rPr>
                                <w:color w:val="000000"/>
                                <w:szCs w:val="24"/>
                              </w:rPr>
                              <w:t>EĞİTİM VE BİLİM İŞGÖRENLERİ SENDİKASI</w:t>
                            </w:r>
                          </w:p>
                          <w:p w:rsidR="00926842" w:rsidRDefault="00926842" w:rsidP="007304A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BURSA ŞUBESİ</w:t>
                            </w:r>
                          </w:p>
                          <w:p w:rsidR="00926842" w:rsidRPr="004D620B" w:rsidRDefault="00926842" w:rsidP="007304A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6842">
                        <w:trPr>
                          <w:trHeight w:val="1493"/>
                        </w:trPr>
                        <w:tc>
                          <w:tcPr>
                            <w:tcW w:w="8619" w:type="dxa"/>
                          </w:tcPr>
                          <w:p w:rsidR="00926842" w:rsidRDefault="00926842" w:rsidP="007304AD">
                            <w:pPr>
                              <w:pStyle w:val="GvdeMetni"/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26842" w:rsidRDefault="00926842" w:rsidP="00926842">
                      <w:pPr>
                        <w:pStyle w:val="ereveierii"/>
                        <w:jc w:val="center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Cs w:val="24"/>
          <w:lang w:eastAsia="tr-TR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posOffset>889000</wp:posOffset>
                </wp:positionH>
                <wp:positionV relativeFrom="paragraph">
                  <wp:posOffset>-456565</wp:posOffset>
                </wp:positionV>
                <wp:extent cx="13970" cy="113030"/>
                <wp:effectExtent l="7620" t="0" r="6985" b="1270"/>
                <wp:wrapSquare wrapText="largest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13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42" w:rsidRDefault="00926842" w:rsidP="00926842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70pt;margin-top:-35.95pt;width:1.1pt;height:8.9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" stroked="f">
                <v:fill opacity="0"/>
                <v:textbox inset="0,0,0,0">
                  <w:txbxContent>
                    <w:p w:rsidR="00926842" w:rsidRDefault="00926842" w:rsidP="00926842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6D50F1">
        <w:rPr>
          <w:rFonts w:ascii="Times New Roman" w:hAnsi="Times New Roman"/>
          <w:bCs/>
          <w:color w:val="000000"/>
          <w:szCs w:val="24"/>
        </w:rPr>
        <w:t xml:space="preserve">                                                    </w:t>
      </w:r>
    </w:p>
    <w:p w:rsidR="00E8132C" w:rsidRDefault="00E8132C" w:rsidP="00926842">
      <w:pPr>
        <w:jc w:val="both"/>
        <w:rPr>
          <w:color w:val="auto"/>
          <w:szCs w:val="24"/>
        </w:rPr>
      </w:pPr>
    </w:p>
    <w:p w:rsidR="00C64014" w:rsidRPr="00C64014" w:rsidRDefault="001F3E6F" w:rsidP="00C64014">
      <w:pPr>
        <w:ind w:left="7788"/>
        <w:rPr>
          <w:color w:val="auto"/>
          <w:szCs w:val="24"/>
        </w:rPr>
      </w:pPr>
      <w:r>
        <w:rPr>
          <w:color w:val="auto"/>
          <w:szCs w:val="24"/>
        </w:rPr>
        <w:t>05.01.2016</w:t>
      </w:r>
    </w:p>
    <w:p w:rsidR="00C64014" w:rsidRPr="00F71B77" w:rsidRDefault="00C64014" w:rsidP="00C6401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9566D3" w:rsidRDefault="001F3E6F" w:rsidP="009566D3">
      <w:pPr>
        <w:spacing w:line="360" w:lineRule="auto"/>
        <w:jc w:val="center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NÖBET ÜCRETİ </w:t>
      </w:r>
      <w:r w:rsidR="00C64014" w:rsidRPr="00C64014">
        <w:rPr>
          <w:rFonts w:cs="Arial"/>
          <w:b/>
          <w:color w:val="auto"/>
          <w:szCs w:val="24"/>
        </w:rPr>
        <w:t>EĞİTİM-İŞ’İN</w:t>
      </w:r>
      <w:r>
        <w:rPr>
          <w:rFonts w:cs="Arial"/>
          <w:b/>
          <w:color w:val="auto"/>
          <w:szCs w:val="24"/>
        </w:rPr>
        <w:t xml:space="preserve"> ÖNCÜLÜĞÜYLE</w:t>
      </w:r>
      <w:r w:rsidR="00C64014" w:rsidRPr="00C64014">
        <w:rPr>
          <w:rFonts w:cs="Arial"/>
          <w:b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>KAZANILMIŞTIR</w:t>
      </w:r>
    </w:p>
    <w:p w:rsidR="001F3E6F" w:rsidRDefault="009566D3" w:rsidP="009566D3">
      <w:pPr>
        <w:spacing w:line="360" w:lineRule="auto"/>
        <w:jc w:val="center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ab/>
      </w:r>
      <w:r>
        <w:rPr>
          <w:rFonts w:cs="Arial"/>
          <w:b/>
          <w:color w:val="auto"/>
          <w:szCs w:val="24"/>
        </w:rPr>
        <w:tab/>
      </w:r>
    </w:p>
    <w:p w:rsidR="001F3E6F" w:rsidRPr="001F3E6F" w:rsidRDefault="001F3E6F" w:rsidP="001F3E6F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Cs w:val="24"/>
        </w:rPr>
        <w:tab/>
      </w:r>
      <w:r>
        <w:rPr>
          <w:rFonts w:cs="Arial"/>
          <w:color w:val="auto"/>
          <w:szCs w:val="24"/>
        </w:rPr>
        <w:t xml:space="preserve">Son günlerde Eğitim Bir-Sen tarafından okul çalışmalarında ve basına açık gerçekleştirilen toplantılarda, öğretmenlerin nöbet ücreti kazanımının </w:t>
      </w:r>
      <w:r w:rsidR="00792D47">
        <w:rPr>
          <w:rFonts w:cs="Arial"/>
          <w:color w:val="auto"/>
          <w:szCs w:val="24"/>
        </w:rPr>
        <w:t xml:space="preserve">kendi kazanımları olduğuna dair ifadeler kullandığını görmekteyiz. </w:t>
      </w:r>
    </w:p>
    <w:p w:rsidR="00116351" w:rsidRDefault="00792D47" w:rsidP="00792D47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b/>
          <w:color w:val="auto"/>
          <w:szCs w:val="24"/>
        </w:rPr>
        <w:tab/>
      </w:r>
      <w:r>
        <w:rPr>
          <w:rFonts w:cs="Arial"/>
          <w:color w:val="auto"/>
          <w:szCs w:val="24"/>
        </w:rPr>
        <w:t>Yüzbinlerce öğretmenin her türlü idari baskıya ve engellemelere rağmen gerçekleştirdiği eylemin “</w:t>
      </w:r>
      <w:r w:rsidRPr="00792D47">
        <w:rPr>
          <w:rFonts w:cs="Arial"/>
          <w:b/>
          <w:color w:val="auto"/>
          <w:szCs w:val="24"/>
        </w:rPr>
        <w:t xml:space="preserve">Nöbet Tutulan </w:t>
      </w:r>
      <w:r>
        <w:rPr>
          <w:rFonts w:cs="Arial"/>
          <w:b/>
          <w:color w:val="auto"/>
          <w:szCs w:val="24"/>
        </w:rPr>
        <w:t xml:space="preserve">Her </w:t>
      </w:r>
      <w:r w:rsidRPr="00792D47">
        <w:rPr>
          <w:rFonts w:cs="Arial"/>
          <w:b/>
          <w:color w:val="auto"/>
          <w:szCs w:val="24"/>
        </w:rPr>
        <w:t>Gün İçin 6 Saat Ek Ders Ödenmesi</w:t>
      </w:r>
      <w:r>
        <w:rPr>
          <w:rFonts w:cs="Arial"/>
          <w:color w:val="auto"/>
          <w:szCs w:val="24"/>
        </w:rPr>
        <w:t xml:space="preserve">” talebi, </w:t>
      </w:r>
      <w:r w:rsidR="00AF7B6B">
        <w:rPr>
          <w:rFonts w:cs="Arial"/>
          <w:color w:val="auto"/>
          <w:szCs w:val="24"/>
        </w:rPr>
        <w:t xml:space="preserve">2015 </w:t>
      </w:r>
      <w:r>
        <w:rPr>
          <w:rFonts w:cs="Arial"/>
          <w:color w:val="auto"/>
          <w:szCs w:val="24"/>
        </w:rPr>
        <w:t>toplu sözleşme masasında Eğitim Bir-Sen tarafından “kuşa çevrilmiş” ve 2016 için haftalık 2 saat, 2017 için de haftalık 3 saat olacak şekilde imza altına alınmıştır.</w:t>
      </w:r>
    </w:p>
    <w:p w:rsidR="00116351" w:rsidRDefault="00116351" w:rsidP="00116351">
      <w:pPr>
        <w:spacing w:line="360" w:lineRule="auto"/>
        <w:ind w:firstLine="708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Öğretmenlerin idareci baskılarına, soruşturmalara, disiplin cezalarına</w:t>
      </w:r>
      <w:r w:rsidR="00AF7B6B">
        <w:rPr>
          <w:rFonts w:cs="Arial"/>
          <w:color w:val="auto"/>
          <w:szCs w:val="24"/>
        </w:rPr>
        <w:t xml:space="preserve"> ve hatta davalara rağmen kararlı</w:t>
      </w:r>
      <w:r>
        <w:rPr>
          <w:rFonts w:cs="Arial"/>
          <w:color w:val="auto"/>
          <w:szCs w:val="24"/>
        </w:rPr>
        <w:t xml:space="preserve"> </w:t>
      </w:r>
      <w:r w:rsidR="00AF7B6B">
        <w:rPr>
          <w:rFonts w:cs="Arial"/>
          <w:color w:val="auto"/>
          <w:szCs w:val="24"/>
        </w:rPr>
        <w:t>bir şekilde sürdürdükleri eylem için</w:t>
      </w:r>
      <w:r>
        <w:rPr>
          <w:rFonts w:cs="Arial"/>
          <w:color w:val="auto"/>
          <w:szCs w:val="24"/>
        </w:rPr>
        <w:t xml:space="preserve"> harcadıkları emek, toplu sözleşme masasında kazanıma dönüştürmek yerine</w:t>
      </w:r>
      <w:r w:rsidR="00AF7B6B">
        <w:rPr>
          <w:rFonts w:cs="Arial"/>
          <w:color w:val="auto"/>
          <w:szCs w:val="24"/>
        </w:rPr>
        <w:t>, ameliyata alınmış,</w:t>
      </w:r>
      <w:r>
        <w:rPr>
          <w:rFonts w:cs="Arial"/>
          <w:color w:val="auto"/>
          <w:szCs w:val="24"/>
        </w:rPr>
        <w:t xml:space="preserve"> </w:t>
      </w:r>
      <w:r w:rsidR="00AF7B6B">
        <w:rPr>
          <w:rFonts w:cs="Arial"/>
          <w:color w:val="auto"/>
          <w:szCs w:val="24"/>
        </w:rPr>
        <w:t>öğretmenlerin 3 yıllık emeği,</w:t>
      </w:r>
      <w:r>
        <w:rPr>
          <w:rFonts w:cs="Arial"/>
          <w:color w:val="auto"/>
          <w:szCs w:val="24"/>
        </w:rPr>
        <w:t xml:space="preserve"> Eğitim Bir-Sen’in neşter darbeleriyle ameliyat masasında </w:t>
      </w:r>
      <w:r w:rsidR="00AF7B6B">
        <w:rPr>
          <w:rFonts w:cs="Arial"/>
          <w:color w:val="auto"/>
          <w:szCs w:val="24"/>
        </w:rPr>
        <w:t>bırakılmıştır</w:t>
      </w:r>
      <w:r>
        <w:rPr>
          <w:rFonts w:cs="Arial"/>
          <w:color w:val="auto"/>
          <w:szCs w:val="24"/>
        </w:rPr>
        <w:t>.</w:t>
      </w:r>
    </w:p>
    <w:p w:rsidR="00AF7B6B" w:rsidRDefault="00AF7B6B" w:rsidP="00116351">
      <w:pPr>
        <w:spacing w:line="360" w:lineRule="auto"/>
        <w:ind w:firstLine="708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Talep edilenin yarısını bile alamayan Eğitim Bir-Sen, bu başarısızlığını gizlemek için, 2012 yılında Eğitim-İş tarafından öğretmenlerin gündemine getirilen eylemlerin başlangıcını da sahiplenmeye kalkışmaktadır.</w:t>
      </w:r>
    </w:p>
    <w:p w:rsidR="00AF7B6B" w:rsidRDefault="00AF7B6B" w:rsidP="00116351">
      <w:pPr>
        <w:spacing w:line="360" w:lineRule="auto"/>
        <w:ind w:firstLine="708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Nöbet eylemleri sürecine somut hiçbir katkı sunmayan,</w:t>
      </w:r>
      <w:r w:rsidR="00737F5B">
        <w:rPr>
          <w:rFonts w:cs="Arial"/>
          <w:color w:val="auto"/>
          <w:szCs w:val="24"/>
        </w:rPr>
        <w:t xml:space="preserve"> öğretmenler arasında fiilen nöbet tutmama</w:t>
      </w:r>
      <w:r>
        <w:rPr>
          <w:rFonts w:cs="Arial"/>
          <w:color w:val="auto"/>
          <w:szCs w:val="24"/>
        </w:rPr>
        <w:t xml:space="preserve"> </w:t>
      </w:r>
      <w:r w:rsidR="00737F5B">
        <w:rPr>
          <w:rFonts w:cs="Arial"/>
          <w:color w:val="auto"/>
          <w:szCs w:val="24"/>
        </w:rPr>
        <w:t>boyutuna</w:t>
      </w:r>
      <w:r>
        <w:rPr>
          <w:rFonts w:cs="Arial"/>
          <w:color w:val="auto"/>
          <w:szCs w:val="24"/>
        </w:rPr>
        <w:t xml:space="preserve"> gelmiş ve yaygınlaşmış </w:t>
      </w:r>
      <w:r w:rsidR="00737F5B">
        <w:rPr>
          <w:rFonts w:cs="Arial"/>
          <w:color w:val="auto"/>
          <w:szCs w:val="24"/>
        </w:rPr>
        <w:t xml:space="preserve">olan </w:t>
      </w:r>
      <w:r>
        <w:rPr>
          <w:rFonts w:cs="Arial"/>
          <w:color w:val="auto"/>
          <w:szCs w:val="24"/>
        </w:rPr>
        <w:t>eylemleri imza kampanyasıyla sulandırmaya çalışan, nöbet eylemi gerçekleştiren öğretmenleri basın yayın yoluyla kınayan Eğitim Bir-Sen’in</w:t>
      </w:r>
      <w:r w:rsidR="00737F5B">
        <w:rPr>
          <w:rFonts w:cs="Arial"/>
          <w:color w:val="auto"/>
          <w:szCs w:val="24"/>
        </w:rPr>
        <w:t>,</w:t>
      </w:r>
      <w:r>
        <w:rPr>
          <w:rFonts w:cs="Arial"/>
          <w:color w:val="auto"/>
          <w:szCs w:val="24"/>
        </w:rPr>
        <w:t xml:space="preserve"> nöbet kazanımı</w:t>
      </w:r>
      <w:r w:rsidR="00737F5B">
        <w:rPr>
          <w:rFonts w:cs="Arial"/>
          <w:color w:val="auto"/>
          <w:szCs w:val="24"/>
        </w:rPr>
        <w:t>nda</w:t>
      </w:r>
      <w:r w:rsidR="0042587D">
        <w:rPr>
          <w:rFonts w:cs="Arial"/>
          <w:color w:val="auto"/>
          <w:szCs w:val="24"/>
        </w:rPr>
        <w:t xml:space="preserve"> hiçbir </w:t>
      </w:r>
      <w:r w:rsidR="00737F5B">
        <w:rPr>
          <w:rFonts w:cs="Arial"/>
          <w:color w:val="auto"/>
          <w:szCs w:val="24"/>
        </w:rPr>
        <w:t>katkısı olmamıştır</w:t>
      </w:r>
      <w:r>
        <w:rPr>
          <w:rFonts w:cs="Arial"/>
          <w:color w:val="auto"/>
          <w:szCs w:val="24"/>
        </w:rPr>
        <w:t>. Üstelik sendikal eylemler nedeniyle idari</w:t>
      </w:r>
      <w:r w:rsidR="009F65D4"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>işlem yapan, soruşturma açan</w:t>
      </w:r>
      <w:r w:rsidR="00D6400E">
        <w:rPr>
          <w:rFonts w:cs="Arial"/>
          <w:color w:val="auto"/>
          <w:szCs w:val="24"/>
        </w:rPr>
        <w:t>, ders programlarını değiştirmekle korkutan, “nasıl olsa bir hata yaparsın” diye aba altından sopa gösteren</w:t>
      </w:r>
      <w:r>
        <w:rPr>
          <w:rFonts w:cs="Arial"/>
          <w:color w:val="auto"/>
          <w:szCs w:val="24"/>
        </w:rPr>
        <w:t xml:space="preserve"> okul müdürleri de</w:t>
      </w:r>
      <w:r w:rsidR="00737F5B">
        <w:rPr>
          <w:rFonts w:cs="Arial"/>
          <w:color w:val="auto"/>
          <w:szCs w:val="24"/>
        </w:rPr>
        <w:t>,</w:t>
      </w:r>
      <w:r>
        <w:rPr>
          <w:rFonts w:cs="Arial"/>
          <w:color w:val="auto"/>
          <w:szCs w:val="24"/>
        </w:rPr>
        <w:t xml:space="preserve"> </w:t>
      </w:r>
      <w:r w:rsidR="00737F5B">
        <w:rPr>
          <w:rFonts w:cs="Arial"/>
          <w:color w:val="auto"/>
          <w:szCs w:val="24"/>
        </w:rPr>
        <w:t xml:space="preserve">ya </w:t>
      </w:r>
      <w:r>
        <w:rPr>
          <w:rFonts w:cs="Arial"/>
          <w:color w:val="auto"/>
          <w:szCs w:val="24"/>
        </w:rPr>
        <w:t xml:space="preserve">Eğitim Bir-Sen </w:t>
      </w:r>
      <w:r w:rsidR="00737F5B">
        <w:rPr>
          <w:rFonts w:cs="Arial"/>
          <w:color w:val="auto"/>
          <w:szCs w:val="24"/>
        </w:rPr>
        <w:t>üyeleridir ya da Eğitim Bir-Sen etkisinde yapılan şaibeli mülakatlar sonucunda görevlendirilen okul müdürleridir.</w:t>
      </w:r>
      <w:r w:rsidR="00A654FD">
        <w:rPr>
          <w:rFonts w:cs="Arial"/>
          <w:color w:val="auto"/>
          <w:szCs w:val="24"/>
        </w:rPr>
        <w:t xml:space="preserve"> </w:t>
      </w:r>
      <w:r w:rsidR="00A654FD">
        <w:rPr>
          <w:rFonts w:cs="Arial"/>
          <w:color w:val="auto"/>
          <w:szCs w:val="24"/>
        </w:rPr>
        <w:lastRenderedPageBreak/>
        <w:t>Dolayısıyla Eğitim Bir-Sen</w:t>
      </w:r>
      <w:r w:rsidR="009566D3">
        <w:rPr>
          <w:rFonts w:cs="Arial"/>
          <w:color w:val="auto"/>
          <w:szCs w:val="24"/>
        </w:rPr>
        <w:t>,</w:t>
      </w:r>
      <w:r w:rsidR="00A654FD">
        <w:rPr>
          <w:rFonts w:cs="Arial"/>
          <w:color w:val="auto"/>
          <w:szCs w:val="24"/>
        </w:rPr>
        <w:t xml:space="preserve"> nöbet </w:t>
      </w:r>
      <w:bookmarkStart w:id="0" w:name="_GoBack"/>
      <w:bookmarkEnd w:id="0"/>
      <w:r w:rsidR="00A654FD">
        <w:rPr>
          <w:rFonts w:cs="Arial"/>
          <w:color w:val="auto"/>
          <w:szCs w:val="24"/>
        </w:rPr>
        <w:t>eylemlerine yapılan idari baskıların da merkezinde olmuştur.</w:t>
      </w:r>
    </w:p>
    <w:p w:rsidR="00737F5B" w:rsidRDefault="00737F5B" w:rsidP="00116351">
      <w:pPr>
        <w:spacing w:line="360" w:lineRule="auto"/>
        <w:ind w:firstLine="708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Hal böyle iken, hiç bedel ödemeden başkalarının emeğinin üzerine konmak ve ödenen bedeller üzerinden </w:t>
      </w:r>
      <w:proofErr w:type="gramStart"/>
      <w:r>
        <w:rPr>
          <w:rFonts w:cs="Arial"/>
          <w:color w:val="auto"/>
          <w:szCs w:val="24"/>
        </w:rPr>
        <w:t>rant</w:t>
      </w:r>
      <w:proofErr w:type="gramEnd"/>
      <w:r>
        <w:rPr>
          <w:rFonts w:cs="Arial"/>
          <w:color w:val="auto"/>
          <w:szCs w:val="24"/>
        </w:rPr>
        <w:t xml:space="preserve"> sağlamaya çalışmak en basit söylemle “emek sömürüsü” yapmaktır.</w:t>
      </w:r>
      <w:r w:rsidR="00A654FD">
        <w:rPr>
          <w:rFonts w:cs="Arial"/>
          <w:color w:val="auto"/>
          <w:szCs w:val="24"/>
        </w:rPr>
        <w:t xml:space="preserve"> </w:t>
      </w:r>
      <w:r w:rsidR="0042587D">
        <w:rPr>
          <w:rFonts w:cs="Arial"/>
          <w:color w:val="auto"/>
        </w:rPr>
        <w:t>Öğretmenlerin bir gün boyunca harcadıkları emeğe</w:t>
      </w:r>
      <w:r w:rsidR="0042587D">
        <w:rPr>
          <w:rFonts w:cs="Arial"/>
          <w:color w:val="auto"/>
        </w:rPr>
        <w:t xml:space="preserve"> yalnızca</w:t>
      </w:r>
      <w:r w:rsidR="0042587D">
        <w:rPr>
          <w:rFonts w:cs="Arial"/>
          <w:color w:val="auto"/>
        </w:rPr>
        <w:t xml:space="preserve"> 20</w:t>
      </w:r>
      <w:r w:rsidR="0042587D">
        <w:rPr>
          <w:rFonts w:cs="Arial"/>
          <w:color w:val="auto"/>
        </w:rPr>
        <w:t xml:space="preserve"> </w:t>
      </w:r>
      <w:r w:rsidR="0042587D">
        <w:rPr>
          <w:rFonts w:cs="Arial"/>
          <w:color w:val="auto"/>
        </w:rPr>
        <w:t>TL değer biçen</w:t>
      </w:r>
      <w:r w:rsidR="0042587D">
        <w:rPr>
          <w:rFonts w:cs="Arial"/>
          <w:color w:val="auto"/>
        </w:rPr>
        <w:t xml:space="preserve"> ve mutabakata imza atan</w:t>
      </w:r>
      <w:r w:rsidR="0042587D">
        <w:rPr>
          <w:rFonts w:cs="Arial"/>
          <w:color w:val="auto"/>
        </w:rPr>
        <w:t xml:space="preserve"> </w:t>
      </w:r>
      <w:r w:rsidR="0042587D">
        <w:rPr>
          <w:rFonts w:cs="Arial"/>
          <w:color w:val="auto"/>
        </w:rPr>
        <w:t>Eğitim Bir-Sen’in bu çabası, emeği değersizleştirme çabasıdır.</w:t>
      </w:r>
    </w:p>
    <w:p w:rsidR="0042587D" w:rsidRDefault="00A654FD" w:rsidP="00116351">
      <w:pPr>
        <w:spacing w:line="360" w:lineRule="auto"/>
        <w:ind w:firstLine="708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2012 yılında Eğitim-İş tarafından öğretmenlerin gündemine getirilen</w:t>
      </w:r>
      <w:r w:rsidR="00737F5B"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>“</w:t>
      </w:r>
      <w:r w:rsidR="00737F5B">
        <w:rPr>
          <w:rFonts w:cs="Arial"/>
          <w:color w:val="auto"/>
          <w:szCs w:val="24"/>
        </w:rPr>
        <w:t>Nöbete Ücret</w:t>
      </w:r>
      <w:r>
        <w:rPr>
          <w:rFonts w:cs="Arial"/>
          <w:color w:val="auto"/>
          <w:szCs w:val="24"/>
        </w:rPr>
        <w:t>”</w:t>
      </w:r>
      <w:r w:rsidR="00737F5B">
        <w:rPr>
          <w:rFonts w:cs="Arial"/>
          <w:color w:val="auto"/>
          <w:szCs w:val="24"/>
        </w:rPr>
        <w:t xml:space="preserve"> talebini</w:t>
      </w:r>
      <w:r>
        <w:rPr>
          <w:rFonts w:cs="Arial"/>
          <w:color w:val="auto"/>
          <w:szCs w:val="24"/>
        </w:rPr>
        <w:t>,</w:t>
      </w:r>
      <w:r w:rsidR="00737F5B">
        <w:rPr>
          <w:rFonts w:cs="Arial"/>
          <w:color w:val="auto"/>
          <w:szCs w:val="24"/>
        </w:rPr>
        <w:t xml:space="preserve"> 2010 yılında gündeme getirdiklerini </w:t>
      </w:r>
      <w:r w:rsidR="0042587D">
        <w:rPr>
          <w:rFonts w:cs="Arial"/>
          <w:color w:val="auto"/>
          <w:szCs w:val="24"/>
        </w:rPr>
        <w:t>iddia eden</w:t>
      </w:r>
      <w:r w:rsidR="00737F5B">
        <w:rPr>
          <w:rFonts w:cs="Arial"/>
          <w:color w:val="auto"/>
          <w:szCs w:val="24"/>
        </w:rPr>
        <w:t xml:space="preserve"> Eğitim Bir-Sen yetkilileri, bu çalışmalarını</w:t>
      </w:r>
      <w:r>
        <w:rPr>
          <w:rFonts w:cs="Arial"/>
          <w:color w:val="auto"/>
          <w:szCs w:val="24"/>
        </w:rPr>
        <w:t>n belgelerini</w:t>
      </w:r>
      <w:r w:rsidR="00737F5B">
        <w:rPr>
          <w:rFonts w:cs="Arial"/>
          <w:color w:val="auto"/>
          <w:szCs w:val="24"/>
        </w:rPr>
        <w:t xml:space="preserve"> kamuoyuyla paylaşmalıdır.</w:t>
      </w:r>
      <w:r>
        <w:rPr>
          <w:rFonts w:cs="Arial"/>
          <w:color w:val="auto"/>
          <w:szCs w:val="24"/>
        </w:rPr>
        <w:t xml:space="preserve"> </w:t>
      </w:r>
    </w:p>
    <w:p w:rsidR="00737F5B" w:rsidRDefault="00A654FD" w:rsidP="00116351">
      <w:pPr>
        <w:spacing w:line="360" w:lineRule="auto"/>
        <w:ind w:firstLine="708"/>
        <w:rPr>
          <w:rFonts w:cs="Arial"/>
          <w:color w:val="auto"/>
        </w:rPr>
      </w:pPr>
      <w:r>
        <w:rPr>
          <w:rFonts w:cs="Arial"/>
          <w:color w:val="auto"/>
          <w:szCs w:val="24"/>
        </w:rPr>
        <w:t xml:space="preserve">Aksi halde 3 yıl boyunca eylem yapan Eğitim-İş üyeleri </w:t>
      </w:r>
      <w:proofErr w:type="gramStart"/>
      <w:r>
        <w:rPr>
          <w:rFonts w:cs="Arial"/>
          <w:color w:val="auto"/>
          <w:szCs w:val="24"/>
        </w:rPr>
        <w:t>ile,</w:t>
      </w:r>
      <w:proofErr w:type="gramEnd"/>
      <w:r>
        <w:rPr>
          <w:rFonts w:cs="Arial"/>
          <w:color w:val="auto"/>
          <w:szCs w:val="24"/>
        </w:rPr>
        <w:t xml:space="preserve"> 2015 başında eyle</w:t>
      </w:r>
      <w:r w:rsidR="009F65D4">
        <w:rPr>
          <w:rFonts w:cs="Arial"/>
          <w:color w:val="auto"/>
          <w:szCs w:val="24"/>
        </w:rPr>
        <w:t>mlere katılan diğer sendika üyelerinin</w:t>
      </w:r>
      <w:r>
        <w:rPr>
          <w:rFonts w:cs="Arial"/>
          <w:color w:val="auto"/>
          <w:szCs w:val="24"/>
        </w:rPr>
        <w:t xml:space="preserve"> (</w:t>
      </w:r>
      <w:r w:rsidR="009F65D4" w:rsidRPr="00C64014">
        <w:rPr>
          <w:rFonts w:cs="Arial"/>
        </w:rPr>
        <w:t>Ocak 2015’te Türk Eğitim-Sen, Şubat 2015’te de Eğitim-Sen, Aktif Eğitim-Sen, Özgür Eğitim-Sen, Birlik Eğitim-Sen ve Eksen Eğitim-Sen</w:t>
      </w:r>
      <w:r w:rsidR="009F65D4">
        <w:rPr>
          <w:rFonts w:cs="Arial"/>
        </w:rPr>
        <w:t xml:space="preserve">) </w:t>
      </w:r>
      <w:r w:rsidR="009F65D4">
        <w:rPr>
          <w:rFonts w:cs="Arial"/>
          <w:color w:val="auto"/>
        </w:rPr>
        <w:t xml:space="preserve">emeklerini çalmaya </w:t>
      </w:r>
      <w:r w:rsidR="009F65D4" w:rsidRPr="00D6400E">
        <w:rPr>
          <w:rFonts w:cs="Arial"/>
          <w:color w:val="auto"/>
        </w:rPr>
        <w:t>çalışmış olacaklardır</w:t>
      </w:r>
      <w:r w:rsidR="009F65D4">
        <w:rPr>
          <w:rFonts w:cs="Arial"/>
          <w:color w:val="auto"/>
        </w:rPr>
        <w:t>.</w:t>
      </w:r>
      <w:r w:rsidR="00525D7A">
        <w:rPr>
          <w:rFonts w:cs="Arial"/>
          <w:color w:val="auto"/>
        </w:rPr>
        <w:t xml:space="preserve"> </w:t>
      </w:r>
    </w:p>
    <w:p w:rsidR="00525D7A" w:rsidRDefault="00525D7A" w:rsidP="00116351">
      <w:pPr>
        <w:spacing w:line="360" w:lineRule="auto"/>
        <w:ind w:firstLine="708"/>
        <w:rPr>
          <w:rFonts w:cs="Arial"/>
          <w:color w:val="auto"/>
        </w:rPr>
      </w:pPr>
      <w:r>
        <w:rPr>
          <w:rFonts w:cs="Arial"/>
          <w:color w:val="auto"/>
        </w:rPr>
        <w:t xml:space="preserve">Ayrıca, yıllardır konuşulan  </w:t>
      </w:r>
      <w:r>
        <w:rPr>
          <w:rFonts w:cs="Arial"/>
          <w:color w:val="auto"/>
        </w:rPr>
        <w:t>3600 Ek Gösterge ile Vergi Dilimi talepleri de geçtiğimiz yıl Eğitim-İş tarafından imza kampanyalarıyla yaygınlaştırıldıktan sonra Eğitim Bir-Sen’i</w:t>
      </w:r>
      <w:r>
        <w:rPr>
          <w:rFonts w:cs="Arial"/>
          <w:color w:val="auto"/>
        </w:rPr>
        <w:t xml:space="preserve">n gündemine </w:t>
      </w:r>
      <w:proofErr w:type="gramStart"/>
      <w:r>
        <w:rPr>
          <w:rFonts w:cs="Arial"/>
          <w:color w:val="auto"/>
        </w:rPr>
        <w:t>gelmiştir</w:t>
      </w:r>
      <w:r>
        <w:rPr>
          <w:rFonts w:cs="Arial"/>
          <w:color w:val="auto"/>
        </w:rPr>
        <w:t xml:space="preserve"> .</w:t>
      </w:r>
      <w:proofErr w:type="gramEnd"/>
    </w:p>
    <w:p w:rsidR="0042587D" w:rsidRDefault="00D6400E" w:rsidP="00116351">
      <w:pPr>
        <w:spacing w:line="360" w:lineRule="auto"/>
        <w:ind w:firstLine="708"/>
        <w:rPr>
          <w:rFonts w:cs="Arial"/>
          <w:color w:val="auto"/>
        </w:rPr>
      </w:pPr>
      <w:r>
        <w:rPr>
          <w:rFonts w:cs="Arial"/>
          <w:color w:val="auto"/>
        </w:rPr>
        <w:t xml:space="preserve">Eğitim Bir-Sen yetkilileri bilmelidirler ki, emek mücadelesinin güç </w:t>
      </w:r>
      <w:proofErr w:type="gramStart"/>
      <w:r>
        <w:rPr>
          <w:rFonts w:cs="Arial"/>
          <w:color w:val="auto"/>
        </w:rPr>
        <w:t>kaynağı  işyerleridir</w:t>
      </w:r>
      <w:proofErr w:type="gramEnd"/>
      <w:r>
        <w:rPr>
          <w:rFonts w:cs="Arial"/>
          <w:color w:val="auto"/>
        </w:rPr>
        <w:t xml:space="preserve"> ve emekçilerdir. Gücünü iktidar sahiplerinden alan sendikacılık anlayışı sendikal </w:t>
      </w:r>
      <w:proofErr w:type="gramStart"/>
      <w:r>
        <w:rPr>
          <w:rFonts w:cs="Arial"/>
          <w:color w:val="auto"/>
        </w:rPr>
        <w:t>literatürde</w:t>
      </w:r>
      <w:proofErr w:type="gramEnd"/>
      <w:r>
        <w:rPr>
          <w:rFonts w:cs="Arial"/>
          <w:color w:val="auto"/>
        </w:rPr>
        <w:t xml:space="preserve"> “sarı sendikacılık” olarak ifade edilir ve bu anlayış toplu sözleşme masalarında işverene boyun eğmeye mahkûmdur. </w:t>
      </w:r>
    </w:p>
    <w:p w:rsidR="00525D7A" w:rsidRDefault="00525D7A" w:rsidP="00116351">
      <w:pPr>
        <w:spacing w:line="360" w:lineRule="auto"/>
        <w:ind w:firstLine="708"/>
        <w:rPr>
          <w:rFonts w:cs="Arial"/>
          <w:color w:val="auto"/>
        </w:rPr>
      </w:pPr>
      <w:r>
        <w:rPr>
          <w:rFonts w:cs="Arial"/>
          <w:color w:val="auto"/>
        </w:rPr>
        <w:t>Gücünü yalnızca eğitim emekçilerinin kararlı duruşundan alan Eğitim-İş, emekçileri özlük hakları konusunda harekete geçirmeye, ortak kazanımlar için ortak mücadele</w:t>
      </w:r>
      <w:r w:rsidR="0042587D">
        <w:rPr>
          <w:rFonts w:cs="Arial"/>
          <w:color w:val="auto"/>
        </w:rPr>
        <w:t>leri</w:t>
      </w:r>
      <w:r>
        <w:rPr>
          <w:rFonts w:cs="Arial"/>
          <w:color w:val="auto"/>
        </w:rPr>
        <w:t xml:space="preserve"> örgütlemeye, sendikal mücadeleye öncülük etmeye</w:t>
      </w:r>
      <w:r w:rsidR="009566D3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devam edecektir. </w:t>
      </w:r>
    </w:p>
    <w:p w:rsidR="00C64014" w:rsidRDefault="009566D3" w:rsidP="009566D3">
      <w:pPr>
        <w:spacing w:line="360" w:lineRule="auto"/>
        <w:ind w:firstLine="708"/>
        <w:rPr>
          <w:rFonts w:cs="Arial"/>
          <w:color w:val="auto"/>
        </w:rPr>
      </w:pPr>
      <w:r>
        <w:rPr>
          <w:rFonts w:cs="Arial"/>
          <w:color w:val="auto"/>
        </w:rPr>
        <w:t xml:space="preserve">Eğitim Bir-Sen’i “Nöbete Ücret” talebini 2010 yılında gündeme getirdiği iddiasını belgelendirmeye, aksi halde kamuoyundan özür dilemeye davet ediyoruz.  </w:t>
      </w:r>
    </w:p>
    <w:p w:rsidR="009566D3" w:rsidRPr="00C64014" w:rsidRDefault="009566D3" w:rsidP="009566D3">
      <w:pPr>
        <w:spacing w:line="360" w:lineRule="auto"/>
        <w:ind w:firstLine="708"/>
        <w:rPr>
          <w:rFonts w:cs="Arial"/>
        </w:rPr>
      </w:pPr>
    </w:p>
    <w:p w:rsidR="00E8132C" w:rsidRPr="00C64014" w:rsidRDefault="00E8132C" w:rsidP="00926842">
      <w:pPr>
        <w:jc w:val="both"/>
        <w:rPr>
          <w:rFonts w:cs="Arial"/>
          <w:color w:val="auto"/>
        </w:rPr>
      </w:pPr>
    </w:p>
    <w:p w:rsidR="00926842" w:rsidRPr="00C64014" w:rsidRDefault="00E8132C" w:rsidP="00926842">
      <w:pPr>
        <w:jc w:val="both"/>
        <w:rPr>
          <w:rFonts w:cs="Arial"/>
          <w:color w:val="auto"/>
        </w:rPr>
      </w:pPr>
      <w:r w:rsidRPr="00C64014">
        <w:rPr>
          <w:rFonts w:cs="Arial"/>
          <w:color w:val="auto"/>
        </w:rPr>
        <w:t xml:space="preserve">       </w:t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  <w:t xml:space="preserve">  </w:t>
      </w:r>
      <w:r w:rsidR="00836AED" w:rsidRPr="00C64014">
        <w:rPr>
          <w:rFonts w:cs="Arial"/>
          <w:color w:val="auto"/>
        </w:rPr>
        <w:t xml:space="preserve">              </w:t>
      </w:r>
      <w:r w:rsidR="00C64014" w:rsidRPr="00C64014">
        <w:rPr>
          <w:rFonts w:cs="Arial"/>
          <w:color w:val="auto"/>
        </w:rPr>
        <w:tab/>
      </w:r>
      <w:r w:rsidR="00C64014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>Özkan RONA</w:t>
      </w:r>
    </w:p>
    <w:p w:rsidR="00926842" w:rsidRPr="00C64014" w:rsidRDefault="00E8132C" w:rsidP="00926842">
      <w:pPr>
        <w:jc w:val="both"/>
        <w:rPr>
          <w:rFonts w:cs="Arial"/>
          <w:color w:val="auto"/>
        </w:rPr>
      </w:pPr>
      <w:r w:rsidRPr="00C64014">
        <w:rPr>
          <w:rFonts w:cs="Arial"/>
          <w:color w:val="auto"/>
        </w:rPr>
        <w:t xml:space="preserve">  </w:t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ab/>
        <w:t xml:space="preserve">            </w:t>
      </w:r>
      <w:r w:rsidR="00836AED" w:rsidRPr="00C64014">
        <w:rPr>
          <w:rFonts w:cs="Arial"/>
          <w:color w:val="auto"/>
        </w:rPr>
        <w:t xml:space="preserve">              </w:t>
      </w:r>
      <w:r w:rsidR="00C64014" w:rsidRPr="00C64014">
        <w:rPr>
          <w:rFonts w:cs="Arial"/>
          <w:color w:val="auto"/>
        </w:rPr>
        <w:tab/>
      </w:r>
      <w:r w:rsidR="00C64014" w:rsidRPr="00C64014">
        <w:rPr>
          <w:rFonts w:cs="Arial"/>
          <w:color w:val="auto"/>
        </w:rPr>
        <w:tab/>
      </w:r>
      <w:r w:rsidR="00C64014" w:rsidRPr="00C64014">
        <w:rPr>
          <w:rFonts w:cs="Arial"/>
          <w:color w:val="auto"/>
        </w:rPr>
        <w:tab/>
      </w:r>
      <w:r w:rsidR="00926842" w:rsidRPr="00C64014">
        <w:rPr>
          <w:rFonts w:cs="Arial"/>
          <w:color w:val="auto"/>
        </w:rPr>
        <w:t>Şube Başkanı</w:t>
      </w:r>
    </w:p>
    <w:p w:rsidR="00926842" w:rsidRPr="00C64014" w:rsidRDefault="00926842" w:rsidP="00926842">
      <w:pPr>
        <w:jc w:val="both"/>
        <w:rPr>
          <w:rFonts w:cs="Arial"/>
          <w:color w:val="auto"/>
        </w:rPr>
      </w:pPr>
      <w:r w:rsidRPr="00C64014">
        <w:rPr>
          <w:rFonts w:cs="Arial"/>
          <w:color w:val="auto"/>
        </w:rPr>
        <w:t xml:space="preserve"> </w:t>
      </w:r>
    </w:p>
    <w:p w:rsidR="00900AB6" w:rsidRDefault="00900AB6" w:rsidP="00926842">
      <w:pPr>
        <w:jc w:val="both"/>
        <w:rPr>
          <w:color w:val="auto"/>
        </w:rPr>
      </w:pPr>
    </w:p>
    <w:p w:rsidR="00900AB6" w:rsidRDefault="00900AB6" w:rsidP="00926842">
      <w:pPr>
        <w:jc w:val="both"/>
        <w:rPr>
          <w:color w:val="auto"/>
        </w:rPr>
      </w:pPr>
    </w:p>
    <w:p w:rsidR="00900AB6" w:rsidRDefault="00900AB6" w:rsidP="00926842">
      <w:pPr>
        <w:jc w:val="both"/>
        <w:rPr>
          <w:color w:val="auto"/>
        </w:rPr>
      </w:pPr>
    </w:p>
    <w:p w:rsidR="00926842" w:rsidRDefault="00926842" w:rsidP="00926842">
      <w:pPr>
        <w:jc w:val="both"/>
        <w:rPr>
          <w:color w:val="auto"/>
        </w:rPr>
      </w:pPr>
    </w:p>
    <w:p w:rsidR="00926842" w:rsidRDefault="00926842" w:rsidP="00926842">
      <w:pPr>
        <w:jc w:val="both"/>
        <w:rPr>
          <w:color w:val="auto"/>
        </w:rPr>
      </w:pPr>
    </w:p>
    <w:p w:rsidR="00926842" w:rsidRDefault="00926842" w:rsidP="00926842">
      <w:pPr>
        <w:jc w:val="both"/>
        <w:rPr>
          <w:color w:val="auto"/>
        </w:rPr>
      </w:pPr>
    </w:p>
    <w:p w:rsidR="00926842" w:rsidRDefault="00926842" w:rsidP="00926842">
      <w:pPr>
        <w:jc w:val="both"/>
        <w:rPr>
          <w:color w:val="auto"/>
        </w:rPr>
      </w:pPr>
    </w:p>
    <w:p w:rsidR="00926842" w:rsidRDefault="00926842" w:rsidP="00926842">
      <w:pPr>
        <w:jc w:val="both"/>
        <w:rPr>
          <w:color w:val="auto"/>
        </w:rPr>
      </w:pPr>
    </w:p>
    <w:sectPr w:rsidR="00926842" w:rsidSect="00831818">
      <w:footerReference w:type="even" r:id="rId10"/>
      <w:footerReference w:type="default" r:id="rId11"/>
      <w:footerReference w:type="first" r:id="rId12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71" w:rsidRDefault="00A90F71" w:rsidP="00926842">
      <w:r>
        <w:separator/>
      </w:r>
    </w:p>
  </w:endnote>
  <w:endnote w:type="continuationSeparator" w:id="0">
    <w:p w:rsidR="00A90F71" w:rsidRDefault="00A90F71" w:rsidP="0092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11" w:rsidRDefault="00110405" w:rsidP="008318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B2A11" w:rsidRDefault="00A90F71" w:rsidP="005B2A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11" w:rsidRDefault="00110405" w:rsidP="008318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566D3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B2A11" w:rsidRDefault="00A90F71" w:rsidP="00831818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42" w:rsidRDefault="00926842" w:rsidP="00926842">
    <w:pPr>
      <w:pBdr>
        <w:bottom w:val="single" w:sz="6" w:space="1" w:color="auto"/>
      </w:pBdr>
      <w:rPr>
        <w:rFonts w:ascii="Times New Roman" w:hAnsi="Times New Roman"/>
        <w:bCs/>
        <w:color w:val="000000"/>
        <w:sz w:val="18"/>
        <w:szCs w:val="18"/>
      </w:rPr>
    </w:pPr>
  </w:p>
  <w:p w:rsidR="00926842" w:rsidRDefault="00926842" w:rsidP="00926842">
    <w:pPr>
      <w:pBdr>
        <w:bottom w:val="single" w:sz="6" w:space="1" w:color="auto"/>
      </w:pBdr>
      <w:rPr>
        <w:rFonts w:ascii="Times New Roman" w:hAnsi="Times New Roman"/>
        <w:bCs/>
        <w:color w:val="000000"/>
        <w:sz w:val="18"/>
        <w:szCs w:val="18"/>
      </w:rPr>
    </w:pPr>
  </w:p>
  <w:p w:rsidR="00926842" w:rsidRPr="00A74633" w:rsidRDefault="00F56A1E" w:rsidP="00926842">
    <w:pPr>
      <w:pBdr>
        <w:bottom w:val="single" w:sz="6" w:space="1" w:color="auto"/>
      </w:pBdr>
      <w:rPr>
        <w:rFonts w:ascii="Times New Roman" w:hAnsi="Times New Roman"/>
        <w:bCs/>
        <w:color w:val="000000"/>
        <w:sz w:val="18"/>
        <w:szCs w:val="18"/>
      </w:rPr>
    </w:pPr>
    <w:proofErr w:type="spellStart"/>
    <w:r>
      <w:rPr>
        <w:rFonts w:ascii="Times New Roman" w:hAnsi="Times New Roman"/>
        <w:bCs/>
        <w:color w:val="000000"/>
        <w:sz w:val="18"/>
        <w:szCs w:val="18"/>
      </w:rPr>
      <w:t>Aktarhüssam</w:t>
    </w:r>
    <w:proofErr w:type="spellEnd"/>
    <w:r>
      <w:rPr>
        <w:rFonts w:ascii="Times New Roman" w:hAnsi="Times New Roman"/>
        <w:bCs/>
        <w:color w:val="000000"/>
        <w:sz w:val="18"/>
        <w:szCs w:val="18"/>
      </w:rPr>
      <w:t xml:space="preserve"> </w:t>
    </w:r>
    <w:proofErr w:type="spellStart"/>
    <w:r>
      <w:rPr>
        <w:rFonts w:ascii="Times New Roman" w:hAnsi="Times New Roman"/>
        <w:bCs/>
        <w:color w:val="000000"/>
        <w:sz w:val="18"/>
        <w:szCs w:val="18"/>
      </w:rPr>
      <w:t>Mh</w:t>
    </w:r>
    <w:proofErr w:type="spellEnd"/>
    <w:r>
      <w:rPr>
        <w:rFonts w:ascii="Times New Roman" w:hAnsi="Times New Roman"/>
        <w:bCs/>
        <w:color w:val="000000"/>
        <w:sz w:val="18"/>
        <w:szCs w:val="18"/>
      </w:rPr>
      <w:t xml:space="preserve">. 1.Değirmen </w:t>
    </w:r>
    <w:proofErr w:type="spellStart"/>
    <w:r>
      <w:rPr>
        <w:rFonts w:ascii="Times New Roman" w:hAnsi="Times New Roman"/>
        <w:bCs/>
        <w:color w:val="000000"/>
        <w:sz w:val="18"/>
        <w:szCs w:val="18"/>
      </w:rPr>
      <w:t>Sk</w:t>
    </w:r>
    <w:proofErr w:type="spellEnd"/>
    <w:r>
      <w:rPr>
        <w:rFonts w:ascii="Times New Roman" w:hAnsi="Times New Roman"/>
        <w:bCs/>
        <w:color w:val="000000"/>
        <w:sz w:val="18"/>
        <w:szCs w:val="18"/>
      </w:rPr>
      <w:t>. No:7 K.2 D.</w:t>
    </w:r>
    <w:proofErr w:type="gramStart"/>
    <w:r>
      <w:rPr>
        <w:rFonts w:ascii="Times New Roman" w:hAnsi="Times New Roman"/>
        <w:bCs/>
        <w:color w:val="000000"/>
        <w:sz w:val="18"/>
        <w:szCs w:val="18"/>
      </w:rPr>
      <w:t>6</w:t>
    </w:r>
    <w:r w:rsidR="00926842">
      <w:rPr>
        <w:rFonts w:ascii="Times New Roman" w:hAnsi="Times New Roman"/>
        <w:bCs/>
        <w:color w:val="000000"/>
        <w:sz w:val="18"/>
        <w:szCs w:val="18"/>
      </w:rPr>
      <w:t xml:space="preserve">  Osmangazi</w:t>
    </w:r>
    <w:proofErr w:type="gramEnd"/>
    <w:r w:rsidR="00926842">
      <w:rPr>
        <w:rFonts w:ascii="Times New Roman" w:hAnsi="Times New Roman"/>
        <w:bCs/>
        <w:color w:val="000000"/>
        <w:sz w:val="18"/>
        <w:szCs w:val="18"/>
      </w:rPr>
      <w:t>/BURSA Tel/Faks:</w:t>
    </w:r>
    <w:r w:rsidR="00926842" w:rsidRPr="00A74633">
      <w:rPr>
        <w:rFonts w:ascii="Times New Roman" w:hAnsi="Times New Roman"/>
        <w:bCs/>
        <w:color w:val="000000"/>
        <w:sz w:val="18"/>
        <w:szCs w:val="18"/>
      </w:rPr>
      <w:t xml:space="preserve">0 224 220 52 </w:t>
    </w:r>
    <w:r w:rsidR="00926842">
      <w:rPr>
        <w:rFonts w:ascii="Times New Roman" w:hAnsi="Times New Roman"/>
        <w:bCs/>
        <w:color w:val="000000"/>
        <w:sz w:val="18"/>
        <w:szCs w:val="18"/>
      </w:rPr>
      <w:t xml:space="preserve">80 </w:t>
    </w:r>
    <w:r w:rsidR="00926842" w:rsidRPr="00A74633">
      <w:rPr>
        <w:rFonts w:ascii="Times New Roman" w:hAnsi="Times New Roman"/>
        <w:bCs/>
        <w:color w:val="000000"/>
        <w:sz w:val="18"/>
        <w:szCs w:val="18"/>
      </w:rPr>
      <w:t>www.bursaegitimis.com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71" w:rsidRDefault="00A90F71" w:rsidP="00926842">
      <w:r>
        <w:separator/>
      </w:r>
    </w:p>
  </w:footnote>
  <w:footnote w:type="continuationSeparator" w:id="0">
    <w:p w:rsidR="00A90F71" w:rsidRDefault="00A90F71" w:rsidP="0092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32C"/>
    <w:multiLevelType w:val="hybridMultilevel"/>
    <w:tmpl w:val="9B2A2EAE"/>
    <w:lvl w:ilvl="0" w:tplc="3102A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174"/>
    <w:multiLevelType w:val="multilevel"/>
    <w:tmpl w:val="7624A6D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410" w:hanging="1410"/>
      </w:pPr>
      <w:rPr>
        <w:rFonts w:hint="default"/>
      </w:rPr>
    </w:lvl>
    <w:lvl w:ilvl="3">
      <w:start w:val="2015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B21D25"/>
    <w:multiLevelType w:val="hybridMultilevel"/>
    <w:tmpl w:val="AFF6D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BF5"/>
    <w:multiLevelType w:val="hybridMultilevel"/>
    <w:tmpl w:val="91E46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027"/>
    <w:multiLevelType w:val="hybridMultilevel"/>
    <w:tmpl w:val="FFD2B6C2"/>
    <w:lvl w:ilvl="0" w:tplc="E04ED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D4915"/>
    <w:multiLevelType w:val="hybridMultilevel"/>
    <w:tmpl w:val="7BF03E62"/>
    <w:lvl w:ilvl="0" w:tplc="0FBCDE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8710FD"/>
    <w:multiLevelType w:val="hybridMultilevel"/>
    <w:tmpl w:val="444EB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6202"/>
    <w:multiLevelType w:val="multilevel"/>
    <w:tmpl w:val="80FA77D8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410" w:hanging="1410"/>
      </w:pPr>
      <w:rPr>
        <w:rFonts w:hint="default"/>
      </w:rPr>
    </w:lvl>
    <w:lvl w:ilvl="3">
      <w:start w:val="2015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A"/>
    <w:rsid w:val="000D6F5F"/>
    <w:rsid w:val="00110405"/>
    <w:rsid w:val="00116351"/>
    <w:rsid w:val="0013248F"/>
    <w:rsid w:val="001F3E6F"/>
    <w:rsid w:val="002D1A9F"/>
    <w:rsid w:val="002E6508"/>
    <w:rsid w:val="0042587D"/>
    <w:rsid w:val="004806E6"/>
    <w:rsid w:val="004843B8"/>
    <w:rsid w:val="00503BCA"/>
    <w:rsid w:val="00525D7A"/>
    <w:rsid w:val="006066DC"/>
    <w:rsid w:val="00737F5B"/>
    <w:rsid w:val="00792D47"/>
    <w:rsid w:val="00836AED"/>
    <w:rsid w:val="0085457D"/>
    <w:rsid w:val="00874E28"/>
    <w:rsid w:val="008A5E99"/>
    <w:rsid w:val="008D7371"/>
    <w:rsid w:val="008E7C04"/>
    <w:rsid w:val="00900AB6"/>
    <w:rsid w:val="00926842"/>
    <w:rsid w:val="009566D3"/>
    <w:rsid w:val="009F65D4"/>
    <w:rsid w:val="00A02D26"/>
    <w:rsid w:val="00A654FD"/>
    <w:rsid w:val="00A90F71"/>
    <w:rsid w:val="00AF7B6B"/>
    <w:rsid w:val="00B56F4A"/>
    <w:rsid w:val="00C1155F"/>
    <w:rsid w:val="00C46657"/>
    <w:rsid w:val="00C64014"/>
    <w:rsid w:val="00C80313"/>
    <w:rsid w:val="00D25A39"/>
    <w:rsid w:val="00D6400E"/>
    <w:rsid w:val="00DC0A11"/>
    <w:rsid w:val="00E8132C"/>
    <w:rsid w:val="00EB4E65"/>
    <w:rsid w:val="00F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42"/>
    <w:pPr>
      <w:suppressAutoHyphens/>
      <w:spacing w:after="0" w:line="240" w:lineRule="auto"/>
    </w:pPr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2684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paragraph" w:customStyle="1" w:styleId="ereveierii">
    <w:name w:val="Çerçeve içeriği"/>
    <w:basedOn w:val="GvdeMetni"/>
    <w:rsid w:val="00926842"/>
  </w:style>
  <w:style w:type="paragraph" w:styleId="Altbilgi">
    <w:name w:val="footer"/>
    <w:basedOn w:val="Normal"/>
    <w:link w:val="AltbilgiChar"/>
    <w:rsid w:val="009268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character" w:styleId="SayfaNumaras">
    <w:name w:val="page number"/>
    <w:basedOn w:val="VarsaylanParagrafYazTipi"/>
    <w:rsid w:val="00926842"/>
  </w:style>
  <w:style w:type="paragraph" w:styleId="stbilgi">
    <w:name w:val="header"/>
    <w:basedOn w:val="Normal"/>
    <w:link w:val="stbilgiChar"/>
    <w:uiPriority w:val="99"/>
    <w:unhideWhenUsed/>
    <w:rsid w:val="009268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8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842"/>
    <w:rPr>
      <w:rFonts w:ascii="Tahoma" w:eastAsia="Times New Roman" w:hAnsi="Tahoma" w:cs="Tahoma"/>
      <w:color w:val="000080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874E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014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42"/>
    <w:pPr>
      <w:suppressAutoHyphens/>
      <w:spacing w:after="0" w:line="240" w:lineRule="auto"/>
    </w:pPr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2684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paragraph" w:customStyle="1" w:styleId="ereveierii">
    <w:name w:val="Çerçeve içeriği"/>
    <w:basedOn w:val="GvdeMetni"/>
    <w:rsid w:val="00926842"/>
  </w:style>
  <w:style w:type="paragraph" w:styleId="Altbilgi">
    <w:name w:val="footer"/>
    <w:basedOn w:val="Normal"/>
    <w:link w:val="AltbilgiChar"/>
    <w:rsid w:val="009268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character" w:styleId="SayfaNumaras">
    <w:name w:val="page number"/>
    <w:basedOn w:val="VarsaylanParagrafYazTipi"/>
    <w:rsid w:val="00926842"/>
  </w:style>
  <w:style w:type="paragraph" w:styleId="stbilgi">
    <w:name w:val="header"/>
    <w:basedOn w:val="Normal"/>
    <w:link w:val="stbilgiChar"/>
    <w:uiPriority w:val="99"/>
    <w:unhideWhenUsed/>
    <w:rsid w:val="009268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8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842"/>
    <w:rPr>
      <w:rFonts w:ascii="Tahoma" w:eastAsia="Times New Roman" w:hAnsi="Tahoma" w:cs="Tahoma"/>
      <w:color w:val="000080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874E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014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EGITIMIS</dc:creator>
  <cp:lastModifiedBy>EĞİTİM-İŞ</cp:lastModifiedBy>
  <cp:revision>2</cp:revision>
  <cp:lastPrinted>2015-01-30T14:33:00Z</cp:lastPrinted>
  <dcterms:created xsi:type="dcterms:W3CDTF">2016-01-05T17:15:00Z</dcterms:created>
  <dcterms:modified xsi:type="dcterms:W3CDTF">2016-01-05T17:15:00Z</dcterms:modified>
</cp:coreProperties>
</file>